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23" w:rsidRPr="00B80FAD" w:rsidRDefault="0048249A" w:rsidP="00B80FAD">
      <w:pPr>
        <w:pStyle w:val="Titolo"/>
        <w:rPr>
          <w:i w:val="0"/>
        </w:rPr>
      </w:pPr>
      <w:r w:rsidRPr="00B80FAD">
        <w:rPr>
          <w:i w:val="0"/>
        </w:rPr>
        <w:t xml:space="preserve">Scheda di sintesi sulla rilevazione </w:t>
      </w:r>
      <w:r w:rsidR="00212A0F" w:rsidRPr="00B80FAD">
        <w:rPr>
          <w:i w:val="0"/>
        </w:rPr>
        <w:t>del Collegio dei Revisori</w:t>
      </w:r>
      <w:r w:rsidR="00C64BC7" w:rsidRPr="00B80FAD">
        <w:rPr>
          <w:i w:val="0"/>
        </w:rPr>
        <w:t xml:space="preserve"> dell’Ordine dei  dottori commercialisti e degli esperti contabili di Ragusa </w:t>
      </w:r>
    </w:p>
    <w:p w:rsidR="00224DAF" w:rsidRPr="00B80FAD" w:rsidRDefault="00224DAF">
      <w:pPr>
        <w:pStyle w:val="Paragrafoelenco"/>
        <w:ind w:left="0" w:firstLine="0"/>
        <w:rPr>
          <w:rFonts w:ascii="Titillium" w:hAnsi="Titillium"/>
          <w:sz w:val="20"/>
          <w:szCs w:val="20"/>
        </w:rPr>
      </w:pPr>
      <w:bookmarkStart w:id="0" w:name="_GoBack"/>
      <w:bookmarkEnd w:id="0"/>
    </w:p>
    <w:p w:rsidR="00224DAF" w:rsidRPr="00B80FAD" w:rsidRDefault="006F7C41">
      <w:pPr>
        <w:pStyle w:val="Paragrafoelenco"/>
        <w:spacing w:line="276" w:lineRule="auto"/>
        <w:ind w:left="0" w:firstLine="0"/>
        <w:rPr>
          <w:rFonts w:ascii="Titillium" w:hAnsi="Titillium"/>
          <w:sz w:val="20"/>
          <w:szCs w:val="20"/>
        </w:rPr>
      </w:pPr>
      <w:r w:rsidRPr="00B80FAD">
        <w:rPr>
          <w:rFonts w:ascii="Titillium" w:hAnsi="Titillium"/>
          <w:b/>
          <w:sz w:val="20"/>
          <w:szCs w:val="20"/>
        </w:rPr>
        <w:t>Periodo di rilevazione</w:t>
      </w:r>
      <w:r w:rsidRPr="00B80FAD">
        <w:rPr>
          <w:rFonts w:ascii="Titillium" w:hAnsi="Titillium"/>
          <w:sz w:val="20"/>
          <w:szCs w:val="20"/>
        </w:rPr>
        <w:t>: 01/02/2022 – 30</w:t>
      </w:r>
      <w:r w:rsidR="00BA717F" w:rsidRPr="00B80FAD">
        <w:rPr>
          <w:rFonts w:ascii="Titillium" w:hAnsi="Titillium"/>
          <w:sz w:val="20"/>
          <w:szCs w:val="20"/>
        </w:rPr>
        <w:t>/0</w:t>
      </w:r>
      <w:r w:rsidRPr="00B80FAD">
        <w:rPr>
          <w:rFonts w:ascii="Titillium" w:hAnsi="Titillium"/>
          <w:sz w:val="20"/>
          <w:szCs w:val="20"/>
        </w:rPr>
        <w:t>6</w:t>
      </w:r>
      <w:r w:rsidR="00BA717F" w:rsidRPr="00B80FAD">
        <w:rPr>
          <w:rFonts w:ascii="Titillium" w:hAnsi="Titillium"/>
          <w:sz w:val="20"/>
          <w:szCs w:val="20"/>
        </w:rPr>
        <w:t>/202</w:t>
      </w:r>
      <w:r w:rsidRPr="00B80FAD">
        <w:rPr>
          <w:rFonts w:ascii="Titillium" w:hAnsi="Titillium"/>
          <w:sz w:val="20"/>
          <w:szCs w:val="20"/>
        </w:rPr>
        <w:t>2</w:t>
      </w:r>
    </w:p>
    <w:p w:rsidR="00C27B23" w:rsidRPr="00B80FAD" w:rsidRDefault="00C27B23">
      <w:pPr>
        <w:pStyle w:val="Paragrafoelenco"/>
        <w:spacing w:after="0" w:line="276" w:lineRule="auto"/>
        <w:ind w:left="720" w:firstLine="0"/>
        <w:rPr>
          <w:rFonts w:ascii="Titillium" w:hAnsi="Titillium"/>
          <w:sz w:val="20"/>
          <w:szCs w:val="20"/>
        </w:rPr>
      </w:pPr>
    </w:p>
    <w:p w:rsidR="00C27B23" w:rsidRPr="00B80FAD" w:rsidRDefault="0048249A">
      <w:pPr>
        <w:pStyle w:val="Paragrafoelenco"/>
        <w:spacing w:line="360" w:lineRule="auto"/>
        <w:ind w:left="0" w:firstLine="0"/>
        <w:rPr>
          <w:rFonts w:ascii="Titillium" w:hAnsi="Titillium"/>
          <w:b/>
          <w:sz w:val="20"/>
          <w:szCs w:val="20"/>
        </w:rPr>
      </w:pPr>
      <w:r w:rsidRPr="00B80FAD">
        <w:rPr>
          <w:rFonts w:ascii="Titillium" w:hAnsi="Titillium"/>
          <w:b/>
          <w:sz w:val="20"/>
          <w:szCs w:val="20"/>
        </w:rPr>
        <w:t>Procedure e modalità seguite per la rilevazione</w:t>
      </w:r>
      <w:r w:rsidR="00141292" w:rsidRPr="00B80FAD">
        <w:rPr>
          <w:rFonts w:ascii="Titillium" w:hAnsi="Titillium"/>
          <w:b/>
          <w:sz w:val="20"/>
          <w:szCs w:val="20"/>
        </w:rPr>
        <w:t>:</w:t>
      </w:r>
      <w:r w:rsidRPr="00B80FAD">
        <w:rPr>
          <w:rFonts w:ascii="Titillium" w:hAnsi="Titillium"/>
          <w:b/>
          <w:sz w:val="20"/>
          <w:szCs w:val="20"/>
        </w:rPr>
        <w:t xml:space="preserve"> </w:t>
      </w:r>
    </w:p>
    <w:p w:rsidR="00962A0F" w:rsidRPr="00B80FAD" w:rsidRDefault="0048249A" w:rsidP="00B80FAD">
      <w:pPr>
        <w:pStyle w:val="Default"/>
        <w:numPr>
          <w:ilvl w:val="0"/>
          <w:numId w:val="3"/>
        </w:numPr>
        <w:tabs>
          <w:tab w:val="left" w:pos="0"/>
        </w:tabs>
        <w:spacing w:line="360" w:lineRule="auto"/>
        <w:jc w:val="both"/>
        <w:rPr>
          <w:rFonts w:ascii="Titillium" w:hAnsi="Titillium"/>
          <w:sz w:val="20"/>
          <w:szCs w:val="20"/>
        </w:rPr>
      </w:pPr>
      <w:r w:rsidRPr="00B80FAD">
        <w:rPr>
          <w:rFonts w:ascii="Titillium" w:hAnsi="Titillium"/>
          <w:sz w:val="20"/>
          <w:szCs w:val="20"/>
        </w:rPr>
        <w:t>verifica dell’attività svolta dal Responsabile della</w:t>
      </w:r>
      <w:r w:rsidR="007A107C" w:rsidRPr="00B80FAD">
        <w:rPr>
          <w:rFonts w:ascii="Titillium" w:hAnsi="Titillium"/>
          <w:sz w:val="20"/>
          <w:szCs w:val="20"/>
        </w:rPr>
        <w:t xml:space="preserve"> preve</w:t>
      </w:r>
      <w:r w:rsidR="00713BFD" w:rsidRPr="00B80FAD">
        <w:rPr>
          <w:rFonts w:ascii="Titillium" w:hAnsi="Titillium"/>
          <w:sz w:val="20"/>
          <w:szCs w:val="20"/>
        </w:rPr>
        <w:t>nzione della corruzione e della</w:t>
      </w:r>
      <w:r w:rsidRPr="00B80FAD">
        <w:rPr>
          <w:rFonts w:ascii="Titillium" w:hAnsi="Titillium"/>
          <w:sz w:val="20"/>
          <w:szCs w:val="20"/>
        </w:rPr>
        <w:t xml:space="preserve"> trasparenza </w:t>
      </w:r>
      <w:r w:rsidR="00FF4BC2" w:rsidRPr="00B80FAD">
        <w:rPr>
          <w:rFonts w:ascii="Titillium" w:hAnsi="Titillium"/>
          <w:sz w:val="20"/>
          <w:szCs w:val="20"/>
        </w:rPr>
        <w:t>volta al controllo e al</w:t>
      </w:r>
      <w:r w:rsidRPr="00B80FAD">
        <w:rPr>
          <w:rFonts w:ascii="Titillium" w:hAnsi="Titillium"/>
          <w:sz w:val="20"/>
          <w:szCs w:val="20"/>
        </w:rPr>
        <w:t>l’adempimento degli obblighi di pubblicazione</w:t>
      </w:r>
      <w:r w:rsidR="00224DAF">
        <w:rPr>
          <w:rFonts w:ascii="Titillium" w:hAnsi="Titillium"/>
          <w:sz w:val="20"/>
          <w:szCs w:val="20"/>
        </w:rPr>
        <w:t>;</w:t>
      </w:r>
    </w:p>
    <w:p w:rsidR="00962A0F" w:rsidRPr="00B80FAD" w:rsidRDefault="00962A0F" w:rsidP="00962A0F">
      <w:pPr>
        <w:pStyle w:val="Default"/>
        <w:numPr>
          <w:ilvl w:val="0"/>
          <w:numId w:val="3"/>
        </w:numPr>
        <w:tabs>
          <w:tab w:val="left" w:pos="0"/>
        </w:tabs>
        <w:spacing w:line="360" w:lineRule="auto"/>
        <w:jc w:val="both"/>
        <w:rPr>
          <w:rFonts w:ascii="Titillium" w:hAnsi="Titillium"/>
          <w:sz w:val="20"/>
          <w:szCs w:val="20"/>
        </w:rPr>
      </w:pPr>
      <w:r w:rsidRPr="00B80FAD">
        <w:rPr>
          <w:rFonts w:ascii="Titillium" w:hAnsi="Titillium"/>
          <w:sz w:val="20"/>
          <w:szCs w:val="20"/>
        </w:rPr>
        <w:t xml:space="preserve">verifica del processo di adeguamento agli obblighi relativi alla trasparenza, tenendo in considerazione le misure contenute nel Piano Triennale;  </w:t>
      </w:r>
    </w:p>
    <w:p w:rsidR="00F36AD5" w:rsidRPr="00B80FAD" w:rsidRDefault="00F36AD5" w:rsidP="00962A0F">
      <w:pPr>
        <w:pStyle w:val="Default"/>
        <w:numPr>
          <w:ilvl w:val="0"/>
          <w:numId w:val="3"/>
        </w:numPr>
        <w:tabs>
          <w:tab w:val="left" w:pos="0"/>
        </w:tabs>
        <w:spacing w:line="360" w:lineRule="auto"/>
        <w:jc w:val="both"/>
        <w:rPr>
          <w:rFonts w:ascii="Titillium" w:hAnsi="Titillium"/>
          <w:sz w:val="20"/>
          <w:szCs w:val="20"/>
        </w:rPr>
      </w:pPr>
      <w:r w:rsidRPr="00B80FAD">
        <w:rPr>
          <w:rFonts w:ascii="Titillium" w:hAnsi="Titillium"/>
          <w:sz w:val="20"/>
          <w:szCs w:val="20"/>
        </w:rPr>
        <w:t>informazione contestuale di tutti i dipendenti circa l’adozione del PTPCT per mezzo di incontri formativi interni finalizzati alla condivisione dello stesso, al fine di porli nelle condizioni di assolvere con consapevolezza tutti gli obblighi di trasparenza e pubblicazione;</w:t>
      </w:r>
    </w:p>
    <w:p w:rsidR="00C27B23" w:rsidRPr="00B80FAD" w:rsidRDefault="0048249A" w:rsidP="007A107C">
      <w:pPr>
        <w:pStyle w:val="Default"/>
        <w:numPr>
          <w:ilvl w:val="0"/>
          <w:numId w:val="3"/>
        </w:numPr>
        <w:tabs>
          <w:tab w:val="left" w:pos="0"/>
        </w:tabs>
        <w:spacing w:line="360" w:lineRule="auto"/>
        <w:jc w:val="both"/>
        <w:rPr>
          <w:rFonts w:ascii="Titillium" w:hAnsi="Titillium"/>
          <w:sz w:val="20"/>
          <w:szCs w:val="20"/>
        </w:rPr>
      </w:pPr>
      <w:r w:rsidRPr="00B80FAD">
        <w:rPr>
          <w:rFonts w:ascii="Titillium" w:hAnsi="Titillium"/>
          <w:sz w:val="20"/>
          <w:szCs w:val="20"/>
        </w:rPr>
        <w:t>colloqui con i responsabili della trasmissione dei dati;</w:t>
      </w:r>
    </w:p>
    <w:p w:rsidR="00C27B23" w:rsidRPr="00B80FAD" w:rsidRDefault="0048249A" w:rsidP="007A107C">
      <w:pPr>
        <w:pStyle w:val="Default"/>
        <w:numPr>
          <w:ilvl w:val="0"/>
          <w:numId w:val="3"/>
        </w:numPr>
        <w:tabs>
          <w:tab w:val="left" w:pos="0"/>
        </w:tabs>
        <w:spacing w:line="360" w:lineRule="auto"/>
        <w:jc w:val="both"/>
        <w:rPr>
          <w:rFonts w:ascii="Titillium" w:hAnsi="Titillium"/>
          <w:sz w:val="20"/>
          <w:szCs w:val="20"/>
        </w:rPr>
      </w:pPr>
      <w:r w:rsidRPr="00B80FAD">
        <w:rPr>
          <w:rFonts w:ascii="Titillium" w:hAnsi="Titillium"/>
          <w:sz w:val="20"/>
          <w:szCs w:val="20"/>
        </w:rPr>
        <w:t>colloqui con i responsabili della pubblicazione dei dati;</w:t>
      </w:r>
    </w:p>
    <w:p w:rsidR="00F36AD5" w:rsidRPr="00B80FAD" w:rsidRDefault="00F36AD5" w:rsidP="00F36AD5">
      <w:pPr>
        <w:pStyle w:val="Default"/>
        <w:numPr>
          <w:ilvl w:val="0"/>
          <w:numId w:val="3"/>
        </w:numPr>
        <w:tabs>
          <w:tab w:val="left" w:pos="0"/>
        </w:tabs>
        <w:spacing w:line="360" w:lineRule="auto"/>
        <w:jc w:val="both"/>
        <w:rPr>
          <w:rFonts w:ascii="Titillium" w:hAnsi="Titillium"/>
          <w:sz w:val="20"/>
          <w:szCs w:val="20"/>
        </w:rPr>
      </w:pPr>
      <w:r w:rsidRPr="00B80FAD">
        <w:rPr>
          <w:rFonts w:ascii="Titillium" w:hAnsi="Titillium"/>
          <w:sz w:val="20"/>
          <w:szCs w:val="20"/>
        </w:rPr>
        <w:t>esame della documentazione e delle banche dati relative ai dati oggetto di attestazione;</w:t>
      </w:r>
    </w:p>
    <w:p w:rsidR="00C27B23" w:rsidRPr="00B80FAD" w:rsidRDefault="0048249A" w:rsidP="007A107C">
      <w:pPr>
        <w:pStyle w:val="Default"/>
        <w:numPr>
          <w:ilvl w:val="0"/>
          <w:numId w:val="3"/>
        </w:numPr>
        <w:tabs>
          <w:tab w:val="left" w:pos="0"/>
        </w:tabs>
        <w:spacing w:line="360" w:lineRule="auto"/>
        <w:jc w:val="both"/>
        <w:rPr>
          <w:rFonts w:ascii="Titillium" w:hAnsi="Titillium"/>
          <w:sz w:val="20"/>
          <w:szCs w:val="20"/>
        </w:rPr>
      </w:pPr>
      <w:r w:rsidRPr="00B80FAD">
        <w:rPr>
          <w:rFonts w:ascii="Titillium" w:hAnsi="Titillium"/>
          <w:sz w:val="20"/>
          <w:szCs w:val="20"/>
        </w:rPr>
        <w:t xml:space="preserve">verifica </w:t>
      </w:r>
      <w:r w:rsidR="00713BFD" w:rsidRPr="00B80FAD">
        <w:rPr>
          <w:rFonts w:ascii="Titillium" w:hAnsi="Titillium"/>
          <w:sz w:val="20"/>
          <w:szCs w:val="20"/>
        </w:rPr>
        <w:t xml:space="preserve">diretta </w:t>
      </w:r>
      <w:r w:rsidRPr="00B80FAD">
        <w:rPr>
          <w:rFonts w:ascii="Titillium" w:hAnsi="Titillium"/>
          <w:sz w:val="20"/>
          <w:szCs w:val="20"/>
        </w:rPr>
        <w:t>sul sito istituzionale, anche attraverso l’utilizzo di supporti informatici</w:t>
      </w:r>
      <w:r w:rsidR="00212A0F" w:rsidRPr="00B80FAD">
        <w:rPr>
          <w:rFonts w:ascii="Titillium" w:hAnsi="Titillium"/>
          <w:sz w:val="20"/>
          <w:szCs w:val="20"/>
        </w:rPr>
        <w:t>;</w:t>
      </w:r>
    </w:p>
    <w:p w:rsidR="00212A0F" w:rsidRPr="00B80FAD" w:rsidRDefault="00212A0F" w:rsidP="007A107C">
      <w:pPr>
        <w:pStyle w:val="Default"/>
        <w:numPr>
          <w:ilvl w:val="0"/>
          <w:numId w:val="3"/>
        </w:numPr>
        <w:tabs>
          <w:tab w:val="left" w:pos="0"/>
        </w:tabs>
        <w:spacing w:line="360" w:lineRule="auto"/>
        <w:jc w:val="both"/>
        <w:rPr>
          <w:rFonts w:ascii="Titillium" w:hAnsi="Titillium"/>
          <w:sz w:val="20"/>
          <w:szCs w:val="20"/>
        </w:rPr>
      </w:pPr>
      <w:r w:rsidRPr="00B80FAD">
        <w:rPr>
          <w:rFonts w:ascii="Titillium" w:hAnsi="Titillium"/>
          <w:sz w:val="20"/>
          <w:szCs w:val="20"/>
        </w:rPr>
        <w:t>monitoraggio della sezione “Amministrazione trasparente” nel proprio sito;</w:t>
      </w:r>
    </w:p>
    <w:p w:rsidR="00212A0F" w:rsidRDefault="00212A0F" w:rsidP="007A107C">
      <w:pPr>
        <w:pStyle w:val="Default"/>
        <w:numPr>
          <w:ilvl w:val="0"/>
          <w:numId w:val="3"/>
        </w:numPr>
        <w:tabs>
          <w:tab w:val="left" w:pos="0"/>
        </w:tabs>
        <w:spacing w:line="360" w:lineRule="auto"/>
        <w:jc w:val="both"/>
        <w:rPr>
          <w:rFonts w:ascii="Titillium" w:hAnsi="Titillium"/>
          <w:sz w:val="20"/>
          <w:szCs w:val="20"/>
        </w:rPr>
      </w:pPr>
      <w:r w:rsidRPr="00B80FAD">
        <w:rPr>
          <w:rFonts w:ascii="Titillium" w:hAnsi="Titillium"/>
          <w:sz w:val="20"/>
          <w:szCs w:val="20"/>
        </w:rPr>
        <w:t xml:space="preserve">organizzazione </w:t>
      </w:r>
      <w:r w:rsidR="001B5116" w:rsidRPr="00B80FAD">
        <w:rPr>
          <w:rFonts w:ascii="Titillium" w:hAnsi="Titillium"/>
          <w:sz w:val="20"/>
          <w:szCs w:val="20"/>
        </w:rPr>
        <w:t xml:space="preserve">e monitoraggio </w:t>
      </w:r>
      <w:r w:rsidRPr="00B80FAD">
        <w:rPr>
          <w:rFonts w:ascii="Titillium" w:hAnsi="Titillium"/>
          <w:sz w:val="20"/>
          <w:szCs w:val="20"/>
        </w:rPr>
        <w:t>di un sistema che fornisca risposte tempestive ai cittadini, sia con riguardo ai dati non pubblicati sul sito, sia in re</w:t>
      </w:r>
      <w:r w:rsidR="00224DAF">
        <w:rPr>
          <w:rFonts w:ascii="Titillium" w:hAnsi="Titillium"/>
          <w:sz w:val="20"/>
          <w:szCs w:val="20"/>
        </w:rPr>
        <w:t>lazione ad ulteriori richieste.</w:t>
      </w:r>
    </w:p>
    <w:p w:rsidR="00224DAF" w:rsidRDefault="00224DAF" w:rsidP="00224DAF">
      <w:pPr>
        <w:pStyle w:val="Default"/>
        <w:tabs>
          <w:tab w:val="left" w:pos="0"/>
        </w:tabs>
        <w:spacing w:line="360" w:lineRule="auto"/>
        <w:ind w:left="720"/>
        <w:jc w:val="both"/>
        <w:rPr>
          <w:rFonts w:ascii="Titillium" w:hAnsi="Titillium"/>
          <w:sz w:val="20"/>
          <w:szCs w:val="20"/>
        </w:rPr>
      </w:pPr>
    </w:p>
    <w:p w:rsidR="00224DAF" w:rsidRPr="00B80FAD" w:rsidRDefault="00224DAF" w:rsidP="00224DAF">
      <w:pPr>
        <w:pStyle w:val="Default"/>
        <w:tabs>
          <w:tab w:val="left" w:pos="0"/>
        </w:tabs>
        <w:spacing w:line="360" w:lineRule="auto"/>
        <w:ind w:left="360"/>
        <w:jc w:val="both"/>
        <w:rPr>
          <w:rFonts w:ascii="Titillium" w:hAnsi="Titillium"/>
          <w:sz w:val="20"/>
          <w:szCs w:val="20"/>
        </w:rPr>
      </w:pPr>
      <w:r w:rsidRPr="00224DAF">
        <w:rPr>
          <w:rFonts w:ascii="Titillium" w:hAnsi="Titillium"/>
          <w:sz w:val="20"/>
          <w:szCs w:val="20"/>
        </w:rPr>
        <w:t xml:space="preserve">Si vuole specificare inoltre </w:t>
      </w:r>
      <w:r>
        <w:rPr>
          <w:rFonts w:ascii="Titillium" w:hAnsi="Titillium"/>
          <w:sz w:val="20"/>
          <w:szCs w:val="20"/>
        </w:rPr>
        <w:t xml:space="preserve">che nel corso della rilevazione </w:t>
      </w:r>
      <w:r w:rsidRPr="00224DAF">
        <w:rPr>
          <w:rFonts w:ascii="Titillium" w:hAnsi="Titillium"/>
          <w:sz w:val="20"/>
          <w:szCs w:val="20"/>
        </w:rPr>
        <w:t>il Consiglio dei Revisori si è interfacciata in maniera continua con il Responsabile per la prevenzione della corruzione e per la trasparenza in ordine alle risultanze dell’attività di controllo svolta da quest’ultimo e con il quale sono stati effettuati confronti e approfondimenti che hanno portato alla progressiva e costante implementazione dei dati sulla sezione ded</w:t>
      </w:r>
      <w:r>
        <w:rPr>
          <w:rFonts w:ascii="Titillium" w:hAnsi="Titillium"/>
          <w:sz w:val="20"/>
          <w:szCs w:val="20"/>
        </w:rPr>
        <w:t>icata alla trasparenza del sito.</w:t>
      </w:r>
    </w:p>
    <w:p w:rsidR="000645DD" w:rsidRPr="00B80FAD" w:rsidRDefault="000645DD" w:rsidP="000645DD">
      <w:pPr>
        <w:pStyle w:val="Default"/>
        <w:tabs>
          <w:tab w:val="left" w:pos="0"/>
        </w:tabs>
        <w:spacing w:line="360" w:lineRule="auto"/>
        <w:jc w:val="both"/>
        <w:rPr>
          <w:rFonts w:ascii="Titillium" w:hAnsi="Titillium"/>
          <w:sz w:val="20"/>
          <w:szCs w:val="20"/>
        </w:rPr>
      </w:pPr>
    </w:p>
    <w:p w:rsidR="00962A0F" w:rsidRPr="00B80FAD" w:rsidRDefault="0048249A">
      <w:pPr>
        <w:spacing w:line="360" w:lineRule="auto"/>
        <w:rPr>
          <w:rFonts w:ascii="Titillium" w:hAnsi="Titillium"/>
          <w:b/>
          <w:sz w:val="20"/>
          <w:szCs w:val="20"/>
        </w:rPr>
      </w:pPr>
      <w:r w:rsidRPr="00B80FAD">
        <w:rPr>
          <w:rFonts w:ascii="Titillium" w:hAnsi="Titillium"/>
          <w:b/>
          <w:sz w:val="20"/>
          <w:szCs w:val="20"/>
        </w:rPr>
        <w:t>Aspetti critici riscontrati nel corso della rilevazione</w:t>
      </w:r>
      <w:r w:rsidR="00962A0F" w:rsidRPr="00B80FAD">
        <w:rPr>
          <w:rFonts w:ascii="Titillium" w:hAnsi="Titillium"/>
          <w:b/>
          <w:sz w:val="20"/>
          <w:szCs w:val="20"/>
        </w:rPr>
        <w:t>:</w:t>
      </w:r>
    </w:p>
    <w:p w:rsidR="00C27B23" w:rsidRPr="00B80FAD" w:rsidRDefault="002D706F" w:rsidP="002D706F">
      <w:pPr>
        <w:pStyle w:val="Paragrafoelenco"/>
        <w:numPr>
          <w:ilvl w:val="0"/>
          <w:numId w:val="3"/>
        </w:numPr>
        <w:spacing w:line="360" w:lineRule="auto"/>
        <w:rPr>
          <w:rFonts w:ascii="Titillium" w:hAnsi="Titillium"/>
          <w:i/>
          <w:sz w:val="20"/>
          <w:szCs w:val="20"/>
        </w:rPr>
      </w:pPr>
      <w:r w:rsidRPr="00B80FAD">
        <w:rPr>
          <w:rFonts w:ascii="Titillium" w:hAnsi="Titillium"/>
          <w:sz w:val="20"/>
          <w:szCs w:val="20"/>
        </w:rPr>
        <w:t xml:space="preserve">non sono stati riscontrati aspetti critici durante la procedura di </w:t>
      </w:r>
      <w:r w:rsidRPr="00B80FAD">
        <w:rPr>
          <w:rFonts w:ascii="Titillium" w:hAnsi="Titillium"/>
          <w:sz w:val="20"/>
          <w:szCs w:val="20"/>
        </w:rPr>
        <w:lastRenderedPageBreak/>
        <w:t>rilevazione</w:t>
      </w:r>
      <w:r w:rsidRPr="00B80FAD">
        <w:rPr>
          <w:rFonts w:ascii="Titillium" w:hAnsi="Titillium"/>
          <w:i/>
          <w:sz w:val="20"/>
          <w:szCs w:val="20"/>
        </w:rPr>
        <w:t xml:space="preserve">. </w:t>
      </w:r>
    </w:p>
    <w:sectPr w:rsidR="00C27B23" w:rsidRPr="00B80FAD">
      <w:headerReference w:type="default" r:id="rId8"/>
      <w:pgSz w:w="11906" w:h="16838"/>
      <w:pgMar w:top="1417" w:right="1134" w:bottom="708" w:left="1134" w:header="708"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CE5" w:rsidRDefault="00C66CE5">
      <w:pPr>
        <w:spacing w:after="0" w:line="240" w:lineRule="auto"/>
      </w:pPr>
      <w:r>
        <w:separator/>
      </w:r>
    </w:p>
  </w:endnote>
  <w:endnote w:type="continuationSeparator" w:id="0">
    <w:p w:rsidR="00C66CE5" w:rsidRDefault="00C66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tillium">
    <w:altName w:val="Courier New"/>
    <w:panose1 w:val="00000000000000000000"/>
    <w:charset w:val="00"/>
    <w:family w:val="modern"/>
    <w:notTrueType/>
    <w:pitch w:val="variable"/>
    <w:sig w:usb0="00000001" w:usb1="00000001"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CE5" w:rsidRDefault="00C66CE5">
      <w:pPr>
        <w:spacing w:after="0" w:line="240" w:lineRule="auto"/>
      </w:pPr>
      <w:r>
        <w:separator/>
      </w:r>
    </w:p>
  </w:footnote>
  <w:footnote w:type="continuationSeparator" w:id="0">
    <w:p w:rsidR="00C66CE5" w:rsidRDefault="00C66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81B" w:rsidRDefault="000645DD" w:rsidP="000645DD">
    <w:pPr>
      <w:pStyle w:val="Intestazione"/>
      <w:tabs>
        <w:tab w:val="left" w:pos="3878"/>
      </w:tabs>
      <w:rPr>
        <w:rFonts w:ascii="Titillium" w:hAnsi="Titillium" w:cs="Times New Roman"/>
        <w:b/>
        <w:sz w:val="20"/>
        <w:szCs w:val="20"/>
      </w:rPr>
    </w:pPr>
    <w:r>
      <w:rPr>
        <w:rFonts w:ascii="Garamond" w:hAnsi="Garamond"/>
        <w:b/>
      </w:rPr>
      <w:tab/>
    </w:r>
    <w:r>
      <w:rPr>
        <w:rFonts w:ascii="Garamond" w:hAnsi="Garamond"/>
        <w:b/>
      </w:rPr>
      <w:tab/>
      <w:t xml:space="preserve">             </w:t>
    </w:r>
    <w:r w:rsidR="001E481B" w:rsidRPr="000F2C0E">
      <w:rPr>
        <w:rFonts w:ascii="Titillium" w:hAnsi="Titillium"/>
        <w:b/>
        <w:sz w:val="20"/>
        <w:szCs w:val="20"/>
      </w:rPr>
      <w:t xml:space="preserve">Allegato 3 alla </w:t>
    </w:r>
    <w:r w:rsidR="001E481B" w:rsidRPr="000F2C0E">
      <w:rPr>
        <w:rFonts w:ascii="Titillium" w:hAnsi="Titillium" w:cs="Times New Roman"/>
        <w:b/>
        <w:sz w:val="20"/>
        <w:szCs w:val="20"/>
      </w:rPr>
      <w:t xml:space="preserve">delibera ANAC n. </w:t>
    </w:r>
    <w:r w:rsidR="001E481B">
      <w:rPr>
        <w:rFonts w:ascii="Titillium" w:hAnsi="Titillium" w:cs="Times New Roman"/>
        <w:b/>
        <w:sz w:val="20"/>
        <w:szCs w:val="20"/>
      </w:rPr>
      <w:t>201</w:t>
    </w:r>
    <w:r w:rsidR="001E481B" w:rsidRPr="000F2C0E">
      <w:rPr>
        <w:rFonts w:ascii="Titillium" w:hAnsi="Titillium" w:cs="Times New Roman"/>
        <w:b/>
        <w:sz w:val="20"/>
        <w:szCs w:val="20"/>
      </w:rPr>
      <w:t>/202</w:t>
    </w:r>
    <w:r w:rsidR="001E481B">
      <w:rPr>
        <w:rFonts w:ascii="Titillium" w:hAnsi="Titillium" w:cs="Times New Roman"/>
        <w:b/>
        <w:sz w:val="20"/>
        <w:szCs w:val="20"/>
      </w:rPr>
      <w:t>2</w:t>
    </w:r>
  </w:p>
  <w:p w:rsidR="000645DD" w:rsidRDefault="000645DD" w:rsidP="000645DD">
    <w:pPr>
      <w:pStyle w:val="Intestazione"/>
      <w:tabs>
        <w:tab w:val="left" w:pos="3878"/>
      </w:tabs>
      <w:rPr>
        <w:rFonts w:ascii="Titillium" w:hAnsi="Titillium" w:cs="Times New Roman"/>
        <w:b/>
        <w:sz w:val="20"/>
        <w:szCs w:val="20"/>
      </w:rPr>
    </w:pPr>
  </w:p>
  <w:p w:rsidR="000645DD" w:rsidRDefault="000645DD" w:rsidP="000645DD">
    <w:pPr>
      <w:pStyle w:val="Intestazione"/>
      <w:tabs>
        <w:tab w:val="left" w:pos="3878"/>
      </w:tabs>
      <w:rPr>
        <w:rFonts w:ascii="Titillium" w:hAnsi="Titillium" w:cs="Times New Roman"/>
        <w:b/>
        <w:sz w:val="20"/>
        <w:szCs w:val="20"/>
      </w:rPr>
    </w:pPr>
  </w:p>
  <w:p w:rsidR="001E481B" w:rsidRDefault="000645DD" w:rsidP="000645DD">
    <w:pPr>
      <w:pStyle w:val="Intestazione"/>
      <w:jc w:val="center"/>
      <w:rPr>
        <w:rFonts w:ascii="Garamond" w:hAnsi="Garamond" w:cs="Times New Roman"/>
        <w:b/>
      </w:rPr>
    </w:pPr>
    <w:r w:rsidRPr="00BF1DFF">
      <w:rPr>
        <w:rFonts w:ascii="Titillium" w:hAnsi="Titillium" w:cs="Times New Roman"/>
        <w:noProof/>
        <w:color w:val="FF0000"/>
        <w:sz w:val="16"/>
        <w:szCs w:val="16"/>
        <w:lang w:eastAsia="it-IT"/>
      </w:rPr>
      <w:drawing>
        <wp:inline distT="0" distB="0" distL="0" distR="0" wp14:anchorId="2A305D3A" wp14:editId="1C754620">
          <wp:extent cx="3903388" cy="666750"/>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6554" cy="674123"/>
                  </a:xfrm>
                  <a:prstGeom prst="rect">
                    <a:avLst/>
                  </a:prstGeom>
                  <a:noFill/>
                </pic:spPr>
              </pic:pic>
            </a:graphicData>
          </a:graphic>
        </wp:inline>
      </w:drawing>
    </w:r>
  </w:p>
  <w:p w:rsidR="001E481B" w:rsidRPr="006E496C" w:rsidRDefault="001E481B" w:rsidP="006E496C">
    <w:pPr>
      <w:pStyle w:val="Intestazione"/>
      <w:jc w:val="right"/>
      <w:rPr>
        <w:rFonts w:ascii="Garamond" w:hAnsi="Garamond"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B02D7"/>
    <w:multiLevelType w:val="multilevel"/>
    <w:tmpl w:val="562438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
    <w:nsid w:val="3E981BA1"/>
    <w:multiLevelType w:val="multilevel"/>
    <w:tmpl w:val="75C2FF56"/>
    <w:lvl w:ilvl="0">
      <w:start w:val="1"/>
      <w:numFmt w:val="none"/>
      <w:pStyle w:val="Titolo"/>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4743015"/>
    <w:multiLevelType w:val="multilevel"/>
    <w:tmpl w:val="95685400"/>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7B274FF9"/>
    <w:multiLevelType w:val="hybridMultilevel"/>
    <w:tmpl w:val="4CD022FC"/>
    <w:lvl w:ilvl="0" w:tplc="77CA1D2A">
      <w:start w:val="3"/>
      <w:numFmt w:val="bullet"/>
      <w:lvlText w:val="-"/>
      <w:lvlJc w:val="left"/>
      <w:pPr>
        <w:ind w:left="720" w:hanging="360"/>
      </w:pPr>
      <w:rPr>
        <w:rFonts w:ascii="Garamond" w:eastAsia="Times New Roman" w:hAnsi="Garamond"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B23"/>
    <w:rsid w:val="00040F20"/>
    <w:rsid w:val="000645DD"/>
    <w:rsid w:val="000F2C0E"/>
    <w:rsid w:val="00141292"/>
    <w:rsid w:val="0016468A"/>
    <w:rsid w:val="001B5116"/>
    <w:rsid w:val="001E481B"/>
    <w:rsid w:val="00200704"/>
    <w:rsid w:val="00212A0F"/>
    <w:rsid w:val="00224DAF"/>
    <w:rsid w:val="0024134D"/>
    <w:rsid w:val="00257242"/>
    <w:rsid w:val="002C1A6B"/>
    <w:rsid w:val="002C572E"/>
    <w:rsid w:val="002D706F"/>
    <w:rsid w:val="003E1CF5"/>
    <w:rsid w:val="0041405A"/>
    <w:rsid w:val="00416AD0"/>
    <w:rsid w:val="0048249A"/>
    <w:rsid w:val="004833D5"/>
    <w:rsid w:val="004F18CD"/>
    <w:rsid w:val="00506EFE"/>
    <w:rsid w:val="005527F2"/>
    <w:rsid w:val="0060106A"/>
    <w:rsid w:val="00694A86"/>
    <w:rsid w:val="006E496C"/>
    <w:rsid w:val="006F7C41"/>
    <w:rsid w:val="007052EA"/>
    <w:rsid w:val="00705C94"/>
    <w:rsid w:val="00713BFD"/>
    <w:rsid w:val="007A107C"/>
    <w:rsid w:val="00837860"/>
    <w:rsid w:val="0085206C"/>
    <w:rsid w:val="00861FE1"/>
    <w:rsid w:val="00892DBE"/>
    <w:rsid w:val="008A0378"/>
    <w:rsid w:val="00955140"/>
    <w:rsid w:val="00962A0F"/>
    <w:rsid w:val="009A5646"/>
    <w:rsid w:val="009C05D1"/>
    <w:rsid w:val="009C6FAC"/>
    <w:rsid w:val="00A52DF7"/>
    <w:rsid w:val="00AF790D"/>
    <w:rsid w:val="00B15D6E"/>
    <w:rsid w:val="00B75770"/>
    <w:rsid w:val="00B80FAD"/>
    <w:rsid w:val="00BA717F"/>
    <w:rsid w:val="00C27B23"/>
    <w:rsid w:val="00C32BE7"/>
    <w:rsid w:val="00C64BC7"/>
    <w:rsid w:val="00C66CE5"/>
    <w:rsid w:val="00D27496"/>
    <w:rsid w:val="00D938A0"/>
    <w:rsid w:val="00EE2F1B"/>
    <w:rsid w:val="00F1024D"/>
    <w:rsid w:val="00F36AD5"/>
    <w:rsid w:val="00FC7906"/>
    <w:rsid w:val="00FF4B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keepNext/>
      <w:widowControl w:val="0"/>
      <w:pBdr>
        <w:top w:val="nil"/>
        <w:left w:val="nil"/>
        <w:bottom w:val="nil"/>
        <w:right w:val="nil"/>
      </w:pBdr>
      <w:suppressAutoHyphens/>
      <w:spacing w:after="120" w:line="100" w:lineRule="atLeast"/>
      <w:jc w:val="both"/>
    </w:pPr>
    <w:rPr>
      <w:rFonts w:ascii="Times New Roman" w:eastAsia="Times New Roman" w:hAnsi="Times New Roman" w:cs="Cambria"/>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rPr>
      <w:position w:val="22"/>
      <w:sz w:val="14"/>
    </w:rPr>
  </w:style>
  <w:style w:type="character" w:customStyle="1" w:styleId="TestonotaapidipaginaCarattere">
    <w:name w:val="Testo nota a piè di pagina Carattere"/>
    <w:basedOn w:val="Carpredefinitoparagrafo"/>
    <w:rPr>
      <w:rFonts w:ascii="Times New Roman" w:eastAsia="Times New Roman" w:hAnsi="Times New Roman" w:cs="Cambria"/>
      <w:sz w:val="20"/>
      <w:szCs w:val="20"/>
      <w:lang w:eastAsia="ar-SA"/>
    </w:rPr>
  </w:style>
  <w:style w:type="character" w:customStyle="1" w:styleId="TestonotaapidipaginaCarattere1">
    <w:name w:val="Testo nota a piè di pagina Carattere1"/>
    <w:basedOn w:val="Carpredefinitoparagrafo"/>
    <w:rPr>
      <w:rFonts w:ascii="Times New Roman" w:eastAsia="Times New Roman" w:hAnsi="Times New Roman" w:cs="Cambria"/>
      <w:sz w:val="24"/>
      <w:szCs w:val="24"/>
      <w:lang w:eastAsia="ar-SA"/>
    </w:rPr>
  </w:style>
  <w:style w:type="character" w:customStyle="1" w:styleId="TitoloCarattere">
    <w:name w:val="Titolo Carattere"/>
    <w:basedOn w:val="Carpredefinitoparagrafo"/>
    <w:rPr>
      <w:rFonts w:ascii="Times New Roman" w:eastAsia="Times New Roman" w:hAnsi="Times New Roman" w:cs="Times New Roman"/>
      <w:b/>
      <w:bCs/>
      <w:i/>
      <w:sz w:val="36"/>
      <w:szCs w:val="32"/>
      <w:lang w:eastAsia="ar-SA"/>
    </w:rPr>
  </w:style>
  <w:style w:type="character" w:customStyle="1" w:styleId="IntestazioneCarattere">
    <w:name w:val="Intestazione Carattere"/>
    <w:basedOn w:val="Carpredefinitoparagrafo"/>
    <w:rPr>
      <w:rFonts w:ascii="Times New Roman" w:eastAsia="Times New Roman" w:hAnsi="Times New Roman" w:cs="Cambria"/>
      <w:sz w:val="24"/>
      <w:szCs w:val="24"/>
      <w:lang w:eastAsia="ar-SA"/>
    </w:rPr>
  </w:style>
  <w:style w:type="character" w:customStyle="1" w:styleId="PidipaginaCarattere">
    <w:name w:val="Piè di pagina Carattere"/>
    <w:basedOn w:val="Carpredefinitoparagrafo"/>
    <w:rPr>
      <w:rFonts w:ascii="Times New Roman" w:eastAsia="Times New Roman" w:hAnsi="Times New Roman" w:cs="Cambria"/>
      <w:sz w:val="24"/>
      <w:szCs w:val="24"/>
      <w:lang w:eastAsia="ar-SA"/>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Times New Roman" w:eastAsia="Times New Roman" w:hAnsi="Times New Roman" w:cs="Cambria"/>
      <w:sz w:val="20"/>
      <w:szCs w:val="20"/>
      <w:lang w:eastAsia="ar-SA"/>
    </w:rPr>
  </w:style>
  <w:style w:type="character" w:customStyle="1" w:styleId="SoggettocommentoCarattere">
    <w:name w:val="Soggetto commento Carattere"/>
    <w:basedOn w:val="TestocommentoCarattere"/>
    <w:rPr>
      <w:rFonts w:ascii="Times New Roman" w:eastAsia="Times New Roman" w:hAnsi="Times New Roman" w:cs="Cambria"/>
      <w:b/>
      <w:bCs/>
      <w:sz w:val="20"/>
      <w:szCs w:val="20"/>
      <w:lang w:eastAsia="ar-SA"/>
    </w:rPr>
  </w:style>
  <w:style w:type="character" w:customStyle="1" w:styleId="TestofumettoCarattere">
    <w:name w:val="Testo fumetto Carattere"/>
    <w:basedOn w:val="Carpredefinitoparagrafo"/>
    <w:rPr>
      <w:rFonts w:ascii="Tahoma" w:eastAsia="Times New Roman" w:hAnsi="Tahoma" w:cs="Tahoma"/>
      <w:sz w:val="16"/>
      <w:szCs w:val="16"/>
      <w:lang w:eastAsia="ar-SA"/>
    </w:rPr>
  </w:style>
  <w:style w:type="character" w:customStyle="1" w:styleId="WWCharLFO13LVL1">
    <w:name w:val="WW_CharLFO13LVL1"/>
    <w:rPr>
      <w:rFonts w:ascii="Times New Roman" w:eastAsia="Times New Roman" w:hAnsi="Times New Roman" w:cs="Times New Roman"/>
    </w:rPr>
  </w:style>
  <w:style w:type="character" w:customStyle="1" w:styleId="WWCharLFO13LVL2">
    <w:name w:val="WW_CharLFO13LVL2"/>
    <w:rPr>
      <w:rFonts w:ascii="Courier New" w:hAnsi="Courier New" w:cs="Courier New"/>
    </w:rPr>
  </w:style>
  <w:style w:type="character" w:customStyle="1" w:styleId="WWCharLFO13LVL3">
    <w:name w:val="WW_CharLFO13LVL3"/>
    <w:rPr>
      <w:rFonts w:ascii="Wingdings" w:hAnsi="Wingdings"/>
    </w:rPr>
  </w:style>
  <w:style w:type="character" w:customStyle="1" w:styleId="WWCharLFO13LVL4">
    <w:name w:val="WW_CharLFO13LVL4"/>
    <w:rPr>
      <w:rFonts w:ascii="Symbol" w:hAnsi="Symbol"/>
    </w:rPr>
  </w:style>
  <w:style w:type="character" w:customStyle="1" w:styleId="WWCharLFO13LVL5">
    <w:name w:val="WW_CharLFO13LVL5"/>
    <w:rPr>
      <w:rFonts w:ascii="Courier New" w:hAnsi="Courier New" w:cs="Courier New"/>
    </w:rPr>
  </w:style>
  <w:style w:type="character" w:customStyle="1" w:styleId="WWCharLFO13LVL6">
    <w:name w:val="WW_CharLFO13LVL6"/>
    <w:rPr>
      <w:rFonts w:ascii="Wingdings" w:hAnsi="Wingdings"/>
    </w:rPr>
  </w:style>
  <w:style w:type="character" w:customStyle="1" w:styleId="WWCharLFO13LVL7">
    <w:name w:val="WW_CharLFO13LVL7"/>
    <w:rPr>
      <w:rFonts w:ascii="Symbol" w:hAnsi="Symbol"/>
    </w:rPr>
  </w:style>
  <w:style w:type="character" w:customStyle="1" w:styleId="WWCharLFO13LVL8">
    <w:name w:val="WW_CharLFO13LVL8"/>
    <w:rPr>
      <w:rFonts w:ascii="Courier New" w:hAnsi="Courier New" w:cs="Courier New"/>
    </w:rPr>
  </w:style>
  <w:style w:type="character" w:customStyle="1" w:styleId="WWCharLFO13LVL9">
    <w:name w:val="WW_CharLFO13LVL9"/>
    <w:rPr>
      <w:rFonts w:ascii="Wingdings" w:hAnsi="Wingdings"/>
    </w:rPr>
  </w:style>
  <w:style w:type="character" w:customStyle="1" w:styleId="WWCharLFO15LVL1">
    <w:name w:val="WW_CharLFO15LVL1"/>
    <w:rPr>
      <w:rFonts w:ascii="Times New Roman" w:eastAsia="Calibri" w:hAnsi="Times New Roman" w:cs="Times New Roman"/>
      <w:sz w:val="20"/>
    </w:rPr>
  </w:style>
  <w:style w:type="character" w:customStyle="1" w:styleId="WWCharLFO15LVL2">
    <w:name w:val="WW_CharLFO15LVL2"/>
    <w:rPr>
      <w:rFonts w:ascii="Courier New" w:hAnsi="Courier New" w:cs="Courier New"/>
    </w:rPr>
  </w:style>
  <w:style w:type="character" w:customStyle="1" w:styleId="WWCharLFO15LVL3">
    <w:name w:val="WW_CharLFO15LVL3"/>
    <w:rPr>
      <w:rFonts w:ascii="Wingdings" w:hAnsi="Wingdings"/>
    </w:rPr>
  </w:style>
  <w:style w:type="character" w:customStyle="1" w:styleId="WWCharLFO15LVL4">
    <w:name w:val="WW_CharLFO15LVL4"/>
    <w:rPr>
      <w:rFonts w:ascii="Symbol" w:hAnsi="Symbol"/>
    </w:rPr>
  </w:style>
  <w:style w:type="character" w:customStyle="1" w:styleId="WWCharLFO15LVL5">
    <w:name w:val="WW_CharLFO15LVL5"/>
    <w:rPr>
      <w:rFonts w:ascii="Courier New" w:hAnsi="Courier New" w:cs="Courier New"/>
    </w:rPr>
  </w:style>
  <w:style w:type="character" w:customStyle="1" w:styleId="WWCharLFO15LVL6">
    <w:name w:val="WW_CharLFO15LVL6"/>
    <w:rPr>
      <w:rFonts w:ascii="Wingdings" w:hAnsi="Wingdings"/>
    </w:rPr>
  </w:style>
  <w:style w:type="character" w:customStyle="1" w:styleId="WWCharLFO15LVL7">
    <w:name w:val="WW_CharLFO15LVL7"/>
    <w:rPr>
      <w:rFonts w:ascii="Symbol" w:hAnsi="Symbol"/>
    </w:rPr>
  </w:style>
  <w:style w:type="character" w:customStyle="1" w:styleId="WWCharLFO15LVL8">
    <w:name w:val="WW_CharLFO15LVL8"/>
    <w:rPr>
      <w:rFonts w:ascii="Courier New" w:hAnsi="Courier New" w:cs="Courier New"/>
    </w:rPr>
  </w:style>
  <w:style w:type="character" w:customStyle="1" w:styleId="WWCharLFO15LVL9">
    <w:name w:val="WW_CharLFO15LVL9"/>
    <w:rPr>
      <w:rFonts w:ascii="Wingdings" w:hAnsi="Wingdings"/>
    </w:rPr>
  </w:style>
  <w:style w:type="character" w:customStyle="1" w:styleId="Caratteredellanota">
    <w:name w:val="Carattere della nota"/>
  </w:style>
  <w:style w:type="paragraph" w:styleId="Testonotaapidipagina">
    <w:name w:val="footnote text"/>
    <w:basedOn w:val="Normale"/>
  </w:style>
  <w:style w:type="paragraph" w:styleId="Paragrafoelenco">
    <w:name w:val="List Paragraph"/>
    <w:basedOn w:val="Normale"/>
    <w:pPr>
      <w:ind w:left="357" w:hanging="357"/>
    </w:pPr>
  </w:style>
  <w:style w:type="paragraph" w:styleId="Titolo">
    <w:name w:val="Title"/>
    <w:basedOn w:val="Normale"/>
    <w:next w:val="Normale"/>
    <w:autoRedefine/>
    <w:rsid w:val="00B80FAD"/>
    <w:pPr>
      <w:pageBreakBefore/>
      <w:numPr>
        <w:numId w:val="1"/>
      </w:numPr>
      <w:spacing w:before="240" w:after="240"/>
      <w:jc w:val="center"/>
      <w:outlineLvl w:val="0"/>
    </w:pPr>
    <w:rPr>
      <w:rFonts w:ascii="Titillium" w:hAnsi="Titillium" w:cs="Times New Roman"/>
      <w:b/>
      <w:bCs/>
      <w:i/>
      <w:sz w:val="20"/>
      <w:szCs w:val="20"/>
    </w:rPr>
  </w:style>
  <w:style w:type="paragraph" w:customStyle="1" w:styleId="Corpodeltesto">
    <w:name w:val="Corpo del testo"/>
    <w:basedOn w:val="Normale"/>
  </w:style>
  <w:style w:type="paragraph" w:styleId="Intestazione">
    <w:name w:val="header"/>
    <w:basedOn w:val="Normale"/>
    <w:pPr>
      <w:tabs>
        <w:tab w:val="center" w:pos="4819"/>
        <w:tab w:val="right" w:pos="9638"/>
      </w:tabs>
      <w:spacing w:after="0"/>
    </w:pPr>
  </w:style>
  <w:style w:type="paragraph" w:styleId="Pidipagina">
    <w:name w:val="footer"/>
    <w:basedOn w:val="Normale"/>
    <w:pPr>
      <w:tabs>
        <w:tab w:val="center" w:pos="4819"/>
        <w:tab w:val="right" w:pos="9638"/>
      </w:tabs>
      <w:spacing w:after="0"/>
    </w:pPr>
  </w:style>
  <w:style w:type="paragraph" w:customStyle="1" w:styleId="Default">
    <w:name w:val="Default"/>
    <w:pPr>
      <w:keepNext/>
      <w:pBdr>
        <w:top w:val="nil"/>
        <w:left w:val="nil"/>
        <w:bottom w:val="nil"/>
        <w:right w:val="nil"/>
      </w:pBdr>
      <w:suppressAutoHyphens/>
      <w:autoSpaceDE w:val="0"/>
      <w:spacing w:after="0" w:line="100" w:lineRule="atLeast"/>
    </w:pPr>
    <w:rPr>
      <w:rFonts w:ascii="Times New Roman" w:eastAsia="Calibri" w:hAnsi="Times New Roman" w:cs="Times New Roman"/>
      <w:color w:val="000000"/>
      <w:sz w:val="24"/>
      <w:szCs w:val="24"/>
      <w:lang w:eastAsia="en-US"/>
    </w:rPr>
  </w:style>
  <w:style w:type="paragraph" w:styleId="Testocommento">
    <w:name w:val="annotation text"/>
    <w:basedOn w:val="Normale"/>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pPr>
      <w:spacing w:after="0"/>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keepNext/>
      <w:widowControl w:val="0"/>
      <w:pBdr>
        <w:top w:val="nil"/>
        <w:left w:val="nil"/>
        <w:bottom w:val="nil"/>
        <w:right w:val="nil"/>
      </w:pBdr>
      <w:suppressAutoHyphens/>
      <w:spacing w:after="120" w:line="100" w:lineRule="atLeast"/>
      <w:jc w:val="both"/>
    </w:pPr>
    <w:rPr>
      <w:rFonts w:ascii="Times New Roman" w:eastAsia="Times New Roman" w:hAnsi="Times New Roman" w:cs="Cambria"/>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rPr>
      <w:position w:val="22"/>
      <w:sz w:val="14"/>
    </w:rPr>
  </w:style>
  <w:style w:type="character" w:customStyle="1" w:styleId="TestonotaapidipaginaCarattere">
    <w:name w:val="Testo nota a piè di pagina Carattere"/>
    <w:basedOn w:val="Carpredefinitoparagrafo"/>
    <w:rPr>
      <w:rFonts w:ascii="Times New Roman" w:eastAsia="Times New Roman" w:hAnsi="Times New Roman" w:cs="Cambria"/>
      <w:sz w:val="20"/>
      <w:szCs w:val="20"/>
      <w:lang w:eastAsia="ar-SA"/>
    </w:rPr>
  </w:style>
  <w:style w:type="character" w:customStyle="1" w:styleId="TestonotaapidipaginaCarattere1">
    <w:name w:val="Testo nota a piè di pagina Carattere1"/>
    <w:basedOn w:val="Carpredefinitoparagrafo"/>
    <w:rPr>
      <w:rFonts w:ascii="Times New Roman" w:eastAsia="Times New Roman" w:hAnsi="Times New Roman" w:cs="Cambria"/>
      <w:sz w:val="24"/>
      <w:szCs w:val="24"/>
      <w:lang w:eastAsia="ar-SA"/>
    </w:rPr>
  </w:style>
  <w:style w:type="character" w:customStyle="1" w:styleId="TitoloCarattere">
    <w:name w:val="Titolo Carattere"/>
    <w:basedOn w:val="Carpredefinitoparagrafo"/>
    <w:rPr>
      <w:rFonts w:ascii="Times New Roman" w:eastAsia="Times New Roman" w:hAnsi="Times New Roman" w:cs="Times New Roman"/>
      <w:b/>
      <w:bCs/>
      <w:i/>
      <w:sz w:val="36"/>
      <w:szCs w:val="32"/>
      <w:lang w:eastAsia="ar-SA"/>
    </w:rPr>
  </w:style>
  <w:style w:type="character" w:customStyle="1" w:styleId="IntestazioneCarattere">
    <w:name w:val="Intestazione Carattere"/>
    <w:basedOn w:val="Carpredefinitoparagrafo"/>
    <w:rPr>
      <w:rFonts w:ascii="Times New Roman" w:eastAsia="Times New Roman" w:hAnsi="Times New Roman" w:cs="Cambria"/>
      <w:sz w:val="24"/>
      <w:szCs w:val="24"/>
      <w:lang w:eastAsia="ar-SA"/>
    </w:rPr>
  </w:style>
  <w:style w:type="character" w:customStyle="1" w:styleId="PidipaginaCarattere">
    <w:name w:val="Piè di pagina Carattere"/>
    <w:basedOn w:val="Carpredefinitoparagrafo"/>
    <w:rPr>
      <w:rFonts w:ascii="Times New Roman" w:eastAsia="Times New Roman" w:hAnsi="Times New Roman" w:cs="Cambria"/>
      <w:sz w:val="24"/>
      <w:szCs w:val="24"/>
      <w:lang w:eastAsia="ar-SA"/>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Times New Roman" w:eastAsia="Times New Roman" w:hAnsi="Times New Roman" w:cs="Cambria"/>
      <w:sz w:val="20"/>
      <w:szCs w:val="20"/>
      <w:lang w:eastAsia="ar-SA"/>
    </w:rPr>
  </w:style>
  <w:style w:type="character" w:customStyle="1" w:styleId="SoggettocommentoCarattere">
    <w:name w:val="Soggetto commento Carattere"/>
    <w:basedOn w:val="TestocommentoCarattere"/>
    <w:rPr>
      <w:rFonts w:ascii="Times New Roman" w:eastAsia="Times New Roman" w:hAnsi="Times New Roman" w:cs="Cambria"/>
      <w:b/>
      <w:bCs/>
      <w:sz w:val="20"/>
      <w:szCs w:val="20"/>
      <w:lang w:eastAsia="ar-SA"/>
    </w:rPr>
  </w:style>
  <w:style w:type="character" w:customStyle="1" w:styleId="TestofumettoCarattere">
    <w:name w:val="Testo fumetto Carattere"/>
    <w:basedOn w:val="Carpredefinitoparagrafo"/>
    <w:rPr>
      <w:rFonts w:ascii="Tahoma" w:eastAsia="Times New Roman" w:hAnsi="Tahoma" w:cs="Tahoma"/>
      <w:sz w:val="16"/>
      <w:szCs w:val="16"/>
      <w:lang w:eastAsia="ar-SA"/>
    </w:rPr>
  </w:style>
  <w:style w:type="character" w:customStyle="1" w:styleId="WWCharLFO13LVL1">
    <w:name w:val="WW_CharLFO13LVL1"/>
    <w:rPr>
      <w:rFonts w:ascii="Times New Roman" w:eastAsia="Times New Roman" w:hAnsi="Times New Roman" w:cs="Times New Roman"/>
    </w:rPr>
  </w:style>
  <w:style w:type="character" w:customStyle="1" w:styleId="WWCharLFO13LVL2">
    <w:name w:val="WW_CharLFO13LVL2"/>
    <w:rPr>
      <w:rFonts w:ascii="Courier New" w:hAnsi="Courier New" w:cs="Courier New"/>
    </w:rPr>
  </w:style>
  <w:style w:type="character" w:customStyle="1" w:styleId="WWCharLFO13LVL3">
    <w:name w:val="WW_CharLFO13LVL3"/>
    <w:rPr>
      <w:rFonts w:ascii="Wingdings" w:hAnsi="Wingdings"/>
    </w:rPr>
  </w:style>
  <w:style w:type="character" w:customStyle="1" w:styleId="WWCharLFO13LVL4">
    <w:name w:val="WW_CharLFO13LVL4"/>
    <w:rPr>
      <w:rFonts w:ascii="Symbol" w:hAnsi="Symbol"/>
    </w:rPr>
  </w:style>
  <w:style w:type="character" w:customStyle="1" w:styleId="WWCharLFO13LVL5">
    <w:name w:val="WW_CharLFO13LVL5"/>
    <w:rPr>
      <w:rFonts w:ascii="Courier New" w:hAnsi="Courier New" w:cs="Courier New"/>
    </w:rPr>
  </w:style>
  <w:style w:type="character" w:customStyle="1" w:styleId="WWCharLFO13LVL6">
    <w:name w:val="WW_CharLFO13LVL6"/>
    <w:rPr>
      <w:rFonts w:ascii="Wingdings" w:hAnsi="Wingdings"/>
    </w:rPr>
  </w:style>
  <w:style w:type="character" w:customStyle="1" w:styleId="WWCharLFO13LVL7">
    <w:name w:val="WW_CharLFO13LVL7"/>
    <w:rPr>
      <w:rFonts w:ascii="Symbol" w:hAnsi="Symbol"/>
    </w:rPr>
  </w:style>
  <w:style w:type="character" w:customStyle="1" w:styleId="WWCharLFO13LVL8">
    <w:name w:val="WW_CharLFO13LVL8"/>
    <w:rPr>
      <w:rFonts w:ascii="Courier New" w:hAnsi="Courier New" w:cs="Courier New"/>
    </w:rPr>
  </w:style>
  <w:style w:type="character" w:customStyle="1" w:styleId="WWCharLFO13LVL9">
    <w:name w:val="WW_CharLFO13LVL9"/>
    <w:rPr>
      <w:rFonts w:ascii="Wingdings" w:hAnsi="Wingdings"/>
    </w:rPr>
  </w:style>
  <w:style w:type="character" w:customStyle="1" w:styleId="WWCharLFO15LVL1">
    <w:name w:val="WW_CharLFO15LVL1"/>
    <w:rPr>
      <w:rFonts w:ascii="Times New Roman" w:eastAsia="Calibri" w:hAnsi="Times New Roman" w:cs="Times New Roman"/>
      <w:sz w:val="20"/>
    </w:rPr>
  </w:style>
  <w:style w:type="character" w:customStyle="1" w:styleId="WWCharLFO15LVL2">
    <w:name w:val="WW_CharLFO15LVL2"/>
    <w:rPr>
      <w:rFonts w:ascii="Courier New" w:hAnsi="Courier New" w:cs="Courier New"/>
    </w:rPr>
  </w:style>
  <w:style w:type="character" w:customStyle="1" w:styleId="WWCharLFO15LVL3">
    <w:name w:val="WW_CharLFO15LVL3"/>
    <w:rPr>
      <w:rFonts w:ascii="Wingdings" w:hAnsi="Wingdings"/>
    </w:rPr>
  </w:style>
  <w:style w:type="character" w:customStyle="1" w:styleId="WWCharLFO15LVL4">
    <w:name w:val="WW_CharLFO15LVL4"/>
    <w:rPr>
      <w:rFonts w:ascii="Symbol" w:hAnsi="Symbol"/>
    </w:rPr>
  </w:style>
  <w:style w:type="character" w:customStyle="1" w:styleId="WWCharLFO15LVL5">
    <w:name w:val="WW_CharLFO15LVL5"/>
    <w:rPr>
      <w:rFonts w:ascii="Courier New" w:hAnsi="Courier New" w:cs="Courier New"/>
    </w:rPr>
  </w:style>
  <w:style w:type="character" w:customStyle="1" w:styleId="WWCharLFO15LVL6">
    <w:name w:val="WW_CharLFO15LVL6"/>
    <w:rPr>
      <w:rFonts w:ascii="Wingdings" w:hAnsi="Wingdings"/>
    </w:rPr>
  </w:style>
  <w:style w:type="character" w:customStyle="1" w:styleId="WWCharLFO15LVL7">
    <w:name w:val="WW_CharLFO15LVL7"/>
    <w:rPr>
      <w:rFonts w:ascii="Symbol" w:hAnsi="Symbol"/>
    </w:rPr>
  </w:style>
  <w:style w:type="character" w:customStyle="1" w:styleId="WWCharLFO15LVL8">
    <w:name w:val="WW_CharLFO15LVL8"/>
    <w:rPr>
      <w:rFonts w:ascii="Courier New" w:hAnsi="Courier New" w:cs="Courier New"/>
    </w:rPr>
  </w:style>
  <w:style w:type="character" w:customStyle="1" w:styleId="WWCharLFO15LVL9">
    <w:name w:val="WW_CharLFO15LVL9"/>
    <w:rPr>
      <w:rFonts w:ascii="Wingdings" w:hAnsi="Wingdings"/>
    </w:rPr>
  </w:style>
  <w:style w:type="character" w:customStyle="1" w:styleId="Caratteredellanota">
    <w:name w:val="Carattere della nota"/>
  </w:style>
  <w:style w:type="paragraph" w:styleId="Testonotaapidipagina">
    <w:name w:val="footnote text"/>
    <w:basedOn w:val="Normale"/>
  </w:style>
  <w:style w:type="paragraph" w:styleId="Paragrafoelenco">
    <w:name w:val="List Paragraph"/>
    <w:basedOn w:val="Normale"/>
    <w:pPr>
      <w:ind w:left="357" w:hanging="357"/>
    </w:pPr>
  </w:style>
  <w:style w:type="paragraph" w:styleId="Titolo">
    <w:name w:val="Title"/>
    <w:basedOn w:val="Normale"/>
    <w:next w:val="Normale"/>
    <w:autoRedefine/>
    <w:rsid w:val="00B80FAD"/>
    <w:pPr>
      <w:pageBreakBefore/>
      <w:numPr>
        <w:numId w:val="1"/>
      </w:numPr>
      <w:spacing w:before="240" w:after="240"/>
      <w:jc w:val="center"/>
      <w:outlineLvl w:val="0"/>
    </w:pPr>
    <w:rPr>
      <w:rFonts w:ascii="Titillium" w:hAnsi="Titillium" w:cs="Times New Roman"/>
      <w:b/>
      <w:bCs/>
      <w:i/>
      <w:sz w:val="20"/>
      <w:szCs w:val="20"/>
    </w:rPr>
  </w:style>
  <w:style w:type="paragraph" w:customStyle="1" w:styleId="Corpodeltesto">
    <w:name w:val="Corpo del testo"/>
    <w:basedOn w:val="Normale"/>
  </w:style>
  <w:style w:type="paragraph" w:styleId="Intestazione">
    <w:name w:val="header"/>
    <w:basedOn w:val="Normale"/>
    <w:pPr>
      <w:tabs>
        <w:tab w:val="center" w:pos="4819"/>
        <w:tab w:val="right" w:pos="9638"/>
      </w:tabs>
      <w:spacing w:after="0"/>
    </w:pPr>
  </w:style>
  <w:style w:type="paragraph" w:styleId="Pidipagina">
    <w:name w:val="footer"/>
    <w:basedOn w:val="Normale"/>
    <w:pPr>
      <w:tabs>
        <w:tab w:val="center" w:pos="4819"/>
        <w:tab w:val="right" w:pos="9638"/>
      </w:tabs>
      <w:spacing w:after="0"/>
    </w:pPr>
  </w:style>
  <w:style w:type="paragraph" w:customStyle="1" w:styleId="Default">
    <w:name w:val="Default"/>
    <w:pPr>
      <w:keepNext/>
      <w:pBdr>
        <w:top w:val="nil"/>
        <w:left w:val="nil"/>
        <w:bottom w:val="nil"/>
        <w:right w:val="nil"/>
      </w:pBdr>
      <w:suppressAutoHyphens/>
      <w:autoSpaceDE w:val="0"/>
      <w:spacing w:after="0" w:line="100" w:lineRule="atLeast"/>
    </w:pPr>
    <w:rPr>
      <w:rFonts w:ascii="Times New Roman" w:eastAsia="Calibri" w:hAnsi="Times New Roman" w:cs="Times New Roman"/>
      <w:color w:val="000000"/>
      <w:sz w:val="24"/>
      <w:szCs w:val="24"/>
      <w:lang w:eastAsia="en-US"/>
    </w:rPr>
  </w:style>
  <w:style w:type="paragraph" w:styleId="Testocommento">
    <w:name w:val="annotation text"/>
    <w:basedOn w:val="Normale"/>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pPr>
      <w:spacing w:after="0"/>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2</Pages>
  <Words>297</Words>
  <Characters>1696</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i.siciliani</dc:creator>
  <cp:lastModifiedBy>HP</cp:lastModifiedBy>
  <cp:revision>13</cp:revision>
  <cp:lastPrinted>2018-02-28T15:30:00Z</cp:lastPrinted>
  <dcterms:created xsi:type="dcterms:W3CDTF">2022-05-02T11:46:00Z</dcterms:created>
  <dcterms:modified xsi:type="dcterms:W3CDTF">2022-06-23T10:25:00Z</dcterms:modified>
</cp:coreProperties>
</file>